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6"/>
        </w:rPr>
      </w:pPr>
    </w:p>
    <w:p>
      <w:pPr>
        <w:pStyle w:val="BodyText"/>
        <w:ind w:left="2236"/>
        <w:rPr>
          <w:rFonts w:ascii="Times New Roman"/>
        </w:rPr>
      </w:pPr>
      <w:r>
        <w:rPr>
          <w:rFonts w:ascii="Times New Roman"/>
        </w:rPr>
        <w:drawing>
          <wp:inline distT="0" distB="0" distL="0" distR="0">
            <wp:extent cx="3461385" cy="94640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3461385" cy="946403"/>
                    </a:xfrm>
                    <a:prstGeom prst="rect">
                      <a:avLst/>
                    </a:prstGeom>
                  </pic:spPr>
                </pic:pic>
              </a:graphicData>
            </a:graphic>
          </wp:inline>
        </w:drawing>
      </w:r>
      <w:r>
        <w:rPr>
          <w:rFonts w:ascii="Times New Roman"/>
        </w:rPr>
      </w:r>
    </w:p>
    <w:p>
      <w:pPr>
        <w:pStyle w:val="BodyText"/>
        <w:rPr>
          <w:rFonts w:ascii="Times New Roman"/>
        </w:rPr>
      </w:pPr>
    </w:p>
    <w:p>
      <w:pPr>
        <w:pStyle w:val="BodyText"/>
        <w:spacing w:before="6"/>
        <w:rPr>
          <w:rFonts w:ascii="Times New Roman"/>
          <w:sz w:val="22"/>
        </w:rPr>
      </w:pPr>
    </w:p>
    <w:p>
      <w:pPr>
        <w:spacing w:before="102"/>
        <w:ind w:left="113" w:right="0" w:firstLine="0"/>
        <w:jc w:val="left"/>
        <w:rPr>
          <w:sz w:val="15"/>
        </w:rPr>
      </w:pPr>
      <w:r>
        <w:rPr>
          <w:color w:val="333333"/>
          <w:sz w:val="15"/>
        </w:rPr>
        <w:t>October</w:t>
      </w:r>
      <w:r>
        <w:rPr>
          <w:color w:val="333333"/>
          <w:spacing w:val="3"/>
          <w:sz w:val="15"/>
        </w:rPr>
        <w:t> </w:t>
      </w:r>
      <w:r>
        <w:rPr>
          <w:color w:val="333333"/>
          <w:sz w:val="15"/>
        </w:rPr>
        <w:t>17,</w:t>
      </w:r>
      <w:r>
        <w:rPr>
          <w:color w:val="333333"/>
          <w:spacing w:val="4"/>
          <w:sz w:val="15"/>
        </w:rPr>
        <w:t> </w:t>
      </w:r>
      <w:r>
        <w:rPr>
          <w:color w:val="333333"/>
          <w:spacing w:val="-4"/>
          <w:sz w:val="15"/>
        </w:rPr>
        <w:t>2022</w:t>
      </w:r>
    </w:p>
    <w:p>
      <w:pPr>
        <w:pStyle w:val="BodyText"/>
        <w:spacing w:before="9"/>
        <w:rPr>
          <w:sz w:val="12"/>
        </w:rPr>
      </w:pPr>
    </w:p>
    <w:p>
      <w:pPr>
        <w:pStyle w:val="Title"/>
      </w:pPr>
      <w:r>
        <w:rPr>
          <w:color w:val="666666"/>
        </w:rPr>
        <w:t>$2.4M</w:t>
      </w:r>
      <w:r>
        <w:rPr>
          <w:color w:val="666666"/>
          <w:spacing w:val="-8"/>
        </w:rPr>
        <w:t> </w:t>
      </w:r>
      <w:r>
        <w:rPr>
          <w:color w:val="666666"/>
        </w:rPr>
        <w:t>grant</w:t>
      </w:r>
      <w:r>
        <w:rPr>
          <w:color w:val="666666"/>
          <w:spacing w:val="-7"/>
        </w:rPr>
        <w:t> </w:t>
      </w:r>
      <w:r>
        <w:rPr>
          <w:color w:val="666666"/>
        </w:rPr>
        <w:t>will</w:t>
      </w:r>
      <w:r>
        <w:rPr>
          <w:color w:val="666666"/>
          <w:spacing w:val="-8"/>
        </w:rPr>
        <w:t> </w:t>
      </w:r>
      <w:r>
        <w:rPr>
          <w:color w:val="666666"/>
        </w:rPr>
        <w:t>help</w:t>
      </w:r>
      <w:r>
        <w:rPr>
          <w:color w:val="666666"/>
          <w:spacing w:val="-7"/>
        </w:rPr>
        <w:t> </w:t>
      </w:r>
      <w:r>
        <w:rPr>
          <w:color w:val="666666"/>
        </w:rPr>
        <w:t>SDOT</w:t>
      </w:r>
      <w:r>
        <w:rPr>
          <w:color w:val="666666"/>
          <w:spacing w:val="-8"/>
        </w:rPr>
        <w:t> </w:t>
      </w:r>
      <w:r>
        <w:rPr>
          <w:color w:val="666666"/>
        </w:rPr>
        <w:t>plan</w:t>
      </w:r>
      <w:r>
        <w:rPr>
          <w:color w:val="666666"/>
          <w:spacing w:val="-7"/>
        </w:rPr>
        <w:t> </w:t>
      </w:r>
      <w:r>
        <w:rPr>
          <w:color w:val="666666"/>
        </w:rPr>
        <w:t>for</w:t>
      </w:r>
      <w:r>
        <w:rPr>
          <w:color w:val="666666"/>
          <w:spacing w:val="-8"/>
        </w:rPr>
        <w:t> </w:t>
      </w:r>
      <w:r>
        <w:rPr>
          <w:color w:val="666666"/>
        </w:rPr>
        <w:t>new</w:t>
      </w:r>
      <w:r>
        <w:rPr>
          <w:color w:val="666666"/>
          <w:spacing w:val="-7"/>
        </w:rPr>
        <w:t> </w:t>
      </w:r>
      <w:r>
        <w:rPr>
          <w:color w:val="666666"/>
        </w:rPr>
        <w:t>bridge</w:t>
      </w:r>
      <w:r>
        <w:rPr>
          <w:color w:val="666666"/>
          <w:spacing w:val="-8"/>
        </w:rPr>
        <w:t> </w:t>
      </w:r>
      <w:r>
        <w:rPr>
          <w:color w:val="666666"/>
        </w:rPr>
        <w:t>on</w:t>
      </w:r>
      <w:r>
        <w:rPr>
          <w:color w:val="666666"/>
          <w:spacing w:val="-7"/>
        </w:rPr>
        <w:t> </w:t>
      </w:r>
      <w:r>
        <w:rPr>
          <w:color w:val="666666"/>
        </w:rPr>
        <w:t>Fourth</w:t>
      </w:r>
      <w:r>
        <w:rPr>
          <w:color w:val="666666"/>
          <w:spacing w:val="-8"/>
        </w:rPr>
        <w:t> </w:t>
      </w:r>
      <w:r>
        <w:rPr>
          <w:color w:val="666666"/>
          <w:spacing w:val="-2"/>
        </w:rPr>
        <w:t>Avenue</w:t>
      </w:r>
    </w:p>
    <w:p>
      <w:pPr>
        <w:spacing w:before="41"/>
        <w:ind w:left="113" w:right="0" w:firstLine="0"/>
        <w:jc w:val="left"/>
        <w:rPr>
          <w:sz w:val="18"/>
        </w:rPr>
      </w:pPr>
      <w:r>
        <w:rPr>
          <w:sz w:val="18"/>
        </w:rPr>
        <w:t>By</w:t>
      </w:r>
      <w:r>
        <w:rPr>
          <w:spacing w:val="11"/>
          <w:sz w:val="18"/>
        </w:rPr>
        <w:t> </w:t>
      </w:r>
      <w:r>
        <w:rPr>
          <w:color w:val="0000FF"/>
          <w:sz w:val="18"/>
        </w:rPr>
        <w:t>JOURNAL</w:t>
      </w:r>
      <w:r>
        <w:rPr>
          <w:color w:val="0000FF"/>
          <w:spacing w:val="12"/>
          <w:sz w:val="18"/>
        </w:rPr>
        <w:t> </w:t>
      </w:r>
      <w:r>
        <w:rPr>
          <w:color w:val="0000FF"/>
          <w:spacing w:val="-2"/>
          <w:sz w:val="18"/>
        </w:rPr>
        <w:t>STAFF</w:t>
      </w:r>
    </w:p>
    <w:p>
      <w:pPr>
        <w:pStyle w:val="BodyText"/>
        <w:spacing w:before="7"/>
        <w:rPr>
          <w:sz w:val="18"/>
        </w:rPr>
      </w:pPr>
    </w:p>
    <w:p>
      <w:pPr>
        <w:pStyle w:val="BodyText"/>
        <w:spacing w:line="235" w:lineRule="auto"/>
        <w:ind w:left="113" w:right="5804"/>
      </w:pPr>
      <w:r>
        <w:rPr/>
        <w:drawing>
          <wp:anchor distT="0" distB="0" distL="0" distR="0" allowOverlap="1" layoutInCell="1" locked="0" behindDoc="0" simplePos="0" relativeHeight="15728640">
            <wp:simplePos x="0" y="0"/>
            <wp:positionH relativeFrom="page">
              <wp:posOffset>3090783</wp:posOffset>
            </wp:positionH>
            <wp:positionV relativeFrom="paragraph">
              <wp:posOffset>52454</wp:posOffset>
            </wp:positionV>
            <wp:extent cx="3321605" cy="1876663"/>
            <wp:effectExtent l="0" t="0" r="0" b="0"/>
            <wp:wrapNone/>
            <wp:docPr id="3" name="image2.png">
              <a:hlinkClick r:id="rId9"/>
            </wp:docP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3321605" cy="1876663"/>
                    </a:xfrm>
                    <a:prstGeom prst="rect">
                      <a:avLst/>
                    </a:prstGeom>
                  </pic:spPr>
                </pic:pic>
              </a:graphicData>
            </a:graphic>
          </wp:anchor>
        </w:drawing>
      </w:r>
      <w:r>
        <w:rPr/>
        <w:t>The recent opening of the West </w:t>
      </w:r>
      <w:r>
        <w:rPr/>
        <w:t>Seattle Bridge has grabbed all the headlines lately, but there are other bridges in</w:t>
      </w:r>
      <w:r>
        <w:rPr>
          <w:spacing w:val="40"/>
        </w:rPr>
        <w:t> </w:t>
      </w:r>
      <w:r>
        <w:rPr/>
        <w:t>the city that also need extensive repair or replacement.</w:t>
      </w:r>
    </w:p>
    <w:p>
      <w:pPr>
        <w:pStyle w:val="BodyText"/>
        <w:spacing w:line="235" w:lineRule="auto" w:before="187"/>
        <w:ind w:left="113" w:right="5786"/>
      </w:pPr>
      <w:r>
        <w:rPr/>
        <w:t>One of those bridges, carrying Fourth Avenue South near Costco, last week received a $2.4 million federal grant</w:t>
      </w:r>
      <w:r>
        <w:rPr>
          <w:spacing w:val="40"/>
        </w:rPr>
        <w:t> </w:t>
      </w:r>
      <w:r>
        <w:rPr/>
        <w:t>for planners to study ways to </w:t>
      </w:r>
      <w:r>
        <w:rPr/>
        <w:t>minimize traffic congestion, lessen supply chain delays, and mitigate other impacts while the bridge is being repaired or replaced. The four-lane bridge carries</w:t>
      </w:r>
    </w:p>
    <w:p>
      <w:pPr>
        <w:spacing w:after="0" w:line="235" w:lineRule="auto"/>
        <w:sectPr>
          <w:headerReference w:type="default" r:id="rId5"/>
          <w:footerReference w:type="default" r:id="rId6"/>
          <w:type w:val="continuous"/>
          <w:pgSz w:w="12240" w:h="15840"/>
          <w:pgMar w:header="274" w:footer="285" w:top="480" w:bottom="480" w:left="1160" w:right="1720"/>
          <w:pgNumType w:start="1"/>
        </w:sectPr>
      </w:pPr>
    </w:p>
    <w:p>
      <w:pPr>
        <w:pStyle w:val="BodyText"/>
        <w:spacing w:line="235" w:lineRule="auto"/>
        <w:ind w:left="113"/>
      </w:pPr>
      <w:r>
        <w:rPr/>
        <w:t>north-south traffic, including high volumes of commercial trucks and 7,500 daily bus riders, over the Argo railroad yard. It's an important link </w:t>
      </w:r>
      <w:r>
        <w:rPr/>
        <w:t>for the SoDo, Georgetown and Duwamish Valley communities.</w:t>
      </w:r>
    </w:p>
    <w:p>
      <w:pPr>
        <w:spacing w:line="152" w:lineRule="exact" w:before="0"/>
        <w:ind w:left="2884" w:right="0" w:firstLine="0"/>
        <w:jc w:val="left"/>
        <w:rPr>
          <w:rFonts w:ascii="Arial"/>
          <w:sz w:val="14"/>
        </w:rPr>
      </w:pPr>
      <w:r>
        <w:rPr/>
        <w:br w:type="column"/>
      </w:r>
      <w:r>
        <w:rPr>
          <w:rFonts w:ascii="Arial"/>
          <w:sz w:val="14"/>
        </w:rPr>
        <w:t>Photo</w:t>
      </w:r>
      <w:r>
        <w:rPr>
          <w:rFonts w:ascii="Arial"/>
          <w:spacing w:val="-5"/>
          <w:sz w:val="14"/>
        </w:rPr>
        <w:t> </w:t>
      </w:r>
      <w:r>
        <w:rPr>
          <w:rFonts w:ascii="Arial"/>
          <w:sz w:val="14"/>
        </w:rPr>
        <w:t>by</w:t>
      </w:r>
      <w:r>
        <w:rPr>
          <w:rFonts w:ascii="Arial"/>
          <w:spacing w:val="-5"/>
          <w:sz w:val="14"/>
        </w:rPr>
        <w:t> </w:t>
      </w:r>
      <w:r>
        <w:rPr>
          <w:rFonts w:ascii="Arial"/>
          <w:sz w:val="14"/>
        </w:rPr>
        <w:t>Benjamin</w:t>
      </w:r>
      <w:r>
        <w:rPr>
          <w:rFonts w:ascii="Arial"/>
          <w:spacing w:val="-5"/>
          <w:sz w:val="14"/>
        </w:rPr>
        <w:t> </w:t>
      </w:r>
      <w:r>
        <w:rPr>
          <w:rFonts w:ascii="Arial"/>
          <w:sz w:val="14"/>
        </w:rPr>
        <w:t>Minnick</w:t>
      </w:r>
      <w:r>
        <w:rPr>
          <w:rFonts w:ascii="Arial"/>
          <w:spacing w:val="-5"/>
          <w:sz w:val="14"/>
        </w:rPr>
        <w:t> </w:t>
      </w:r>
      <w:hyperlink r:id="rId9">
        <w:r>
          <w:rPr>
            <w:rFonts w:ascii="Arial"/>
            <w:color w:val="0000FF"/>
            <w:spacing w:val="-2"/>
            <w:sz w:val="14"/>
          </w:rPr>
          <w:t>[enlarge]</w:t>
        </w:r>
      </w:hyperlink>
    </w:p>
    <w:p>
      <w:pPr>
        <w:spacing w:line="254" w:lineRule="auto" w:before="84"/>
        <w:ind w:left="113" w:right="475" w:firstLine="0"/>
        <w:jc w:val="left"/>
        <w:rPr>
          <w:rFonts w:ascii="Arial"/>
          <w:b/>
          <w:sz w:val="16"/>
        </w:rPr>
      </w:pPr>
      <w:r>
        <w:rPr>
          <w:rFonts w:ascii="Arial"/>
          <w:b/>
          <w:w w:val="105"/>
          <w:sz w:val="16"/>
        </w:rPr>
        <w:t>The</w:t>
      </w:r>
      <w:r>
        <w:rPr>
          <w:rFonts w:ascii="Arial"/>
          <w:b/>
          <w:spacing w:val="-8"/>
          <w:w w:val="105"/>
          <w:sz w:val="16"/>
        </w:rPr>
        <w:t> </w:t>
      </w:r>
      <w:r>
        <w:rPr>
          <w:rFonts w:ascii="Arial"/>
          <w:b/>
          <w:w w:val="105"/>
          <w:sz w:val="16"/>
        </w:rPr>
        <w:t>Fourth</w:t>
      </w:r>
      <w:r>
        <w:rPr>
          <w:rFonts w:ascii="Arial"/>
          <w:b/>
          <w:spacing w:val="-8"/>
          <w:w w:val="105"/>
          <w:sz w:val="16"/>
        </w:rPr>
        <w:t> </w:t>
      </w:r>
      <w:r>
        <w:rPr>
          <w:rFonts w:ascii="Arial"/>
          <w:b/>
          <w:w w:val="105"/>
          <w:sz w:val="16"/>
        </w:rPr>
        <w:t>Avenue</w:t>
      </w:r>
      <w:r>
        <w:rPr>
          <w:rFonts w:ascii="Arial"/>
          <w:b/>
          <w:spacing w:val="-8"/>
          <w:w w:val="105"/>
          <w:sz w:val="16"/>
        </w:rPr>
        <w:t> </w:t>
      </w:r>
      <w:r>
        <w:rPr>
          <w:rFonts w:ascii="Arial"/>
          <w:b/>
          <w:w w:val="105"/>
          <w:sz w:val="16"/>
        </w:rPr>
        <w:t>South</w:t>
      </w:r>
      <w:r>
        <w:rPr>
          <w:rFonts w:ascii="Arial"/>
          <w:b/>
          <w:spacing w:val="-8"/>
          <w:w w:val="105"/>
          <w:sz w:val="16"/>
        </w:rPr>
        <w:t> </w:t>
      </w:r>
      <w:r>
        <w:rPr>
          <w:rFonts w:ascii="Arial"/>
          <w:b/>
          <w:w w:val="105"/>
          <w:sz w:val="16"/>
        </w:rPr>
        <w:t>Bridge</w:t>
      </w:r>
      <w:r>
        <w:rPr>
          <w:rFonts w:ascii="Arial"/>
          <w:b/>
          <w:spacing w:val="-8"/>
          <w:w w:val="105"/>
          <w:sz w:val="16"/>
        </w:rPr>
        <w:t> </w:t>
      </w:r>
      <w:r>
        <w:rPr>
          <w:rFonts w:ascii="Arial"/>
          <w:b/>
          <w:w w:val="105"/>
          <w:sz w:val="16"/>
        </w:rPr>
        <w:t>spans</w:t>
      </w:r>
      <w:r>
        <w:rPr>
          <w:rFonts w:ascii="Arial"/>
          <w:b/>
          <w:spacing w:val="-8"/>
          <w:w w:val="105"/>
          <w:sz w:val="16"/>
        </w:rPr>
        <w:t> </w:t>
      </w:r>
      <w:r>
        <w:rPr>
          <w:rFonts w:ascii="Arial"/>
          <w:b/>
          <w:w w:val="105"/>
          <w:sz w:val="16"/>
        </w:rPr>
        <w:t>a</w:t>
      </w:r>
      <w:r>
        <w:rPr>
          <w:rFonts w:ascii="Arial"/>
          <w:b/>
          <w:spacing w:val="-8"/>
          <w:w w:val="105"/>
          <w:sz w:val="16"/>
        </w:rPr>
        <w:t> </w:t>
      </w:r>
      <w:r>
        <w:rPr>
          <w:rFonts w:ascii="Arial"/>
          <w:b/>
          <w:w w:val="105"/>
          <w:sz w:val="16"/>
        </w:rPr>
        <w:t>myriad</w:t>
      </w:r>
      <w:r>
        <w:rPr>
          <w:rFonts w:ascii="Arial"/>
          <w:b/>
          <w:spacing w:val="-8"/>
          <w:w w:val="105"/>
          <w:sz w:val="16"/>
        </w:rPr>
        <w:t> </w:t>
      </w:r>
      <w:r>
        <w:rPr>
          <w:rFonts w:ascii="Arial"/>
          <w:b/>
          <w:w w:val="105"/>
          <w:sz w:val="16"/>
        </w:rPr>
        <w:t>of</w:t>
      </w:r>
      <w:r>
        <w:rPr>
          <w:rFonts w:ascii="Arial"/>
          <w:b/>
          <w:spacing w:val="-8"/>
          <w:w w:val="105"/>
          <w:sz w:val="16"/>
        </w:rPr>
        <w:t> </w:t>
      </w:r>
      <w:r>
        <w:rPr>
          <w:rFonts w:ascii="Arial"/>
          <w:b/>
          <w:w w:val="105"/>
          <w:sz w:val="16"/>
        </w:rPr>
        <w:t>train</w:t>
      </w:r>
      <w:r>
        <w:rPr>
          <w:rFonts w:ascii="Arial"/>
          <w:b/>
          <w:spacing w:val="-8"/>
          <w:w w:val="105"/>
          <w:sz w:val="16"/>
        </w:rPr>
        <w:t> </w:t>
      </w:r>
      <w:r>
        <w:rPr>
          <w:rFonts w:ascii="Arial"/>
          <w:b/>
          <w:w w:val="105"/>
          <w:sz w:val="16"/>
        </w:rPr>
        <w:t>tracks in the Argo Yard.</w:t>
      </w:r>
    </w:p>
    <w:p>
      <w:pPr>
        <w:spacing w:after="0" w:line="254" w:lineRule="auto"/>
        <w:jc w:val="left"/>
        <w:rPr>
          <w:rFonts w:ascii="Arial"/>
          <w:sz w:val="16"/>
        </w:rPr>
        <w:sectPr>
          <w:type w:val="continuous"/>
          <w:pgSz w:w="12240" w:h="15840"/>
          <w:pgMar w:header="274" w:footer="285" w:top="480" w:bottom="480" w:left="1160" w:right="1720"/>
          <w:cols w:num="2" w:equalWidth="0">
            <w:col w:w="3603" w:space="60"/>
            <w:col w:w="5697"/>
          </w:cols>
        </w:sectPr>
      </w:pPr>
    </w:p>
    <w:p>
      <w:pPr>
        <w:pStyle w:val="BodyText"/>
        <w:spacing w:before="6"/>
        <w:rPr>
          <w:rFonts w:ascii="Arial"/>
          <w:b/>
          <w:sz w:val="17"/>
        </w:rPr>
      </w:pPr>
    </w:p>
    <w:p>
      <w:pPr>
        <w:pStyle w:val="BodyText"/>
        <w:spacing w:line="235" w:lineRule="auto"/>
        <w:ind w:left="113" w:right="499"/>
      </w:pPr>
      <w:r>
        <w:rPr/>
        <w:t>Inspectors with the Seattle Department of Transportation in 2017 found cracks in the bridge piers, which led to closing the northbound curb lane and restricting large trucks from using the southbound curb lane to help reduce further deterioration. A seismic retrofit analysis identified replacement of the bridge, built in 1933, as the most cost-effective option.</w:t>
      </w:r>
    </w:p>
    <w:p>
      <w:pPr>
        <w:pStyle w:val="BodyText"/>
        <w:spacing w:before="1"/>
        <w:rPr>
          <w:sz w:val="18"/>
        </w:rPr>
      </w:pPr>
    </w:p>
    <w:p>
      <w:pPr>
        <w:pStyle w:val="BodyText"/>
        <w:spacing w:line="235" w:lineRule="auto"/>
        <w:ind w:left="113" w:right="499"/>
      </w:pPr>
      <w:r>
        <w:rPr/>
        <w:t>Prior to closing the curb lane, the bridge carried nearly 17,000 daily users in both directions. Since the lane closure and southbound restrictions, the number of daily users has decreased by about</w:t>
      </w:r>
      <w:r>
        <w:rPr>
          <w:spacing w:val="80"/>
        </w:rPr>
        <w:t> </w:t>
      </w:r>
      <w:r>
        <w:rPr/>
        <w:t>25% in both directions. SDOT said this means commuters started using alternate routes or taking alternative modes of transportation to and from downtown and South Seattle.</w:t>
      </w:r>
    </w:p>
    <w:p>
      <w:pPr>
        <w:pStyle w:val="BodyText"/>
        <w:spacing w:line="430" w:lineRule="exact" w:before="27"/>
        <w:ind w:left="113" w:right="1553"/>
      </w:pPr>
      <w:r>
        <w:rPr/>
        <w:t>An SDOT spokesperson said the estimated cost of the planning study is $3 million.</w:t>
      </w:r>
      <w:r>
        <w:rPr>
          <w:spacing w:val="40"/>
        </w:rPr>
        <w:t> </w:t>
      </w:r>
      <w:r>
        <w:rPr/>
        <w:t>“The study would also address other critical issues, such as seismic vulnerabilities and</w:t>
      </w:r>
    </w:p>
    <w:p>
      <w:pPr>
        <w:pStyle w:val="BodyText"/>
        <w:spacing w:line="177" w:lineRule="exact"/>
        <w:ind w:left="113"/>
      </w:pPr>
      <w:r>
        <w:rPr/>
        <w:t>construction</w:t>
      </w:r>
      <w:r>
        <w:rPr>
          <w:spacing w:val="5"/>
        </w:rPr>
        <w:t> </w:t>
      </w:r>
      <w:r>
        <w:rPr/>
        <w:t>impacts</w:t>
      </w:r>
      <w:r>
        <w:rPr>
          <w:spacing w:val="5"/>
        </w:rPr>
        <w:t> </w:t>
      </w:r>
      <w:r>
        <w:rPr/>
        <w:t>for</w:t>
      </w:r>
      <w:r>
        <w:rPr>
          <w:spacing w:val="5"/>
        </w:rPr>
        <w:t> </w:t>
      </w:r>
      <w:r>
        <w:rPr/>
        <w:t>rail</w:t>
      </w:r>
      <w:r>
        <w:rPr>
          <w:spacing w:val="5"/>
        </w:rPr>
        <w:t> </w:t>
      </w:r>
      <w:r>
        <w:rPr/>
        <w:t>and</w:t>
      </w:r>
      <w:r>
        <w:rPr>
          <w:spacing w:val="5"/>
        </w:rPr>
        <w:t> </w:t>
      </w:r>
      <w:r>
        <w:rPr/>
        <w:t>street</w:t>
      </w:r>
      <w:r>
        <w:rPr>
          <w:spacing w:val="5"/>
        </w:rPr>
        <w:t> </w:t>
      </w:r>
      <w:r>
        <w:rPr/>
        <w:t>users,”</w:t>
      </w:r>
      <w:r>
        <w:rPr>
          <w:spacing w:val="5"/>
        </w:rPr>
        <w:t> </w:t>
      </w:r>
      <w:r>
        <w:rPr/>
        <w:t>the</w:t>
      </w:r>
      <w:r>
        <w:rPr>
          <w:spacing w:val="5"/>
        </w:rPr>
        <w:t> </w:t>
      </w:r>
      <w:r>
        <w:rPr/>
        <w:t>spokesperson</w:t>
      </w:r>
      <w:r>
        <w:rPr>
          <w:spacing w:val="5"/>
        </w:rPr>
        <w:t> </w:t>
      </w:r>
      <w:r>
        <w:rPr/>
        <w:t>said.</w:t>
      </w:r>
      <w:r>
        <w:rPr>
          <w:spacing w:val="6"/>
        </w:rPr>
        <w:t> </w:t>
      </w:r>
      <w:r>
        <w:rPr/>
        <w:t>“The</w:t>
      </w:r>
      <w:r>
        <w:rPr>
          <w:spacing w:val="5"/>
        </w:rPr>
        <w:t> </w:t>
      </w:r>
      <w:r>
        <w:rPr/>
        <w:t>results</w:t>
      </w:r>
      <w:r>
        <w:rPr>
          <w:spacing w:val="5"/>
        </w:rPr>
        <w:t> </w:t>
      </w:r>
      <w:r>
        <w:rPr/>
        <w:t>of</w:t>
      </w:r>
      <w:r>
        <w:rPr>
          <w:spacing w:val="5"/>
        </w:rPr>
        <w:t> </w:t>
      </w:r>
      <w:r>
        <w:rPr/>
        <w:t>the</w:t>
      </w:r>
      <w:r>
        <w:rPr>
          <w:spacing w:val="5"/>
        </w:rPr>
        <w:t> </w:t>
      </w:r>
      <w:r>
        <w:rPr/>
        <w:t>study</w:t>
      </w:r>
      <w:r>
        <w:rPr>
          <w:spacing w:val="5"/>
        </w:rPr>
        <w:t> </w:t>
      </w:r>
      <w:r>
        <w:rPr>
          <w:spacing w:val="-4"/>
        </w:rPr>
        <w:t>will</w:t>
      </w:r>
    </w:p>
    <w:p>
      <w:pPr>
        <w:pStyle w:val="BodyText"/>
        <w:spacing w:line="235" w:lineRule="auto" w:before="1"/>
        <w:ind w:left="113" w:right="499"/>
      </w:pPr>
      <w:r>
        <w:rPr/>
        <w:t>help inform the cost of the final design and construction costs associated with the preferred </w:t>
      </w:r>
      <w:r>
        <w:rPr>
          <w:spacing w:val="-2"/>
        </w:rPr>
        <w:t>alternative.”</w:t>
      </w:r>
    </w:p>
    <w:p>
      <w:pPr>
        <w:pStyle w:val="BodyText"/>
        <w:spacing w:before="2"/>
        <w:rPr>
          <w:sz w:val="18"/>
        </w:rPr>
      </w:pPr>
    </w:p>
    <w:p>
      <w:pPr>
        <w:pStyle w:val="BodyText"/>
        <w:spacing w:line="235" w:lineRule="auto" w:before="1"/>
        <w:ind w:left="113" w:right="460"/>
      </w:pPr>
      <w:r>
        <w:rPr/>
        <w:t>The planning study will be conducted between 2023 and 2024. The spokesperson said the schedule for engineering design and construction work is dependent on the findings from the study. “We believe that any alternative would be a significant financial investment for the city and would rely heavily upon available grant opportunities from the state and federal levels.”</w:t>
      </w:r>
    </w:p>
    <w:p>
      <w:pPr>
        <w:pStyle w:val="BodyText"/>
        <w:spacing w:line="235" w:lineRule="auto" w:before="191"/>
        <w:ind w:left="113" w:right="499"/>
      </w:pPr>
      <w:r>
        <w:rPr/>
        <w:t>SDOT will seek consultants for the planning study once the grant funds are in hand. The spokesperson said there is no set time for when SDOT will receive the grant, but the agency typically allows about six months from a formal award letter until it can start work funded by a </w:t>
      </w:r>
      <w:r>
        <w:rPr>
          <w:spacing w:val="-2"/>
        </w:rPr>
        <w:t>grant.</w:t>
      </w:r>
    </w:p>
    <w:p>
      <w:pPr>
        <w:pStyle w:val="BodyText"/>
        <w:spacing w:before="1"/>
        <w:rPr>
          <w:sz w:val="18"/>
        </w:rPr>
      </w:pPr>
    </w:p>
    <w:p>
      <w:pPr>
        <w:pStyle w:val="BodyText"/>
        <w:spacing w:line="235" w:lineRule="auto"/>
        <w:ind w:left="113" w:right="499"/>
      </w:pPr>
      <w:r>
        <w:rPr/>
        <w:t>In the near term, SDOT wants to repair the bridge so that the outside northbound lane can be reopened. It has $6.3 million budgeted for this and is finalizing the design for the repairs.</w:t>
      </w:r>
    </w:p>
    <w:p>
      <w:pPr>
        <w:pStyle w:val="BodyText"/>
        <w:spacing w:line="222" w:lineRule="exact"/>
        <w:ind w:left="113"/>
      </w:pPr>
      <w:r>
        <w:rPr/>
        <w:t>Construction</w:t>
      </w:r>
      <w:r>
        <w:rPr>
          <w:spacing w:val="5"/>
        </w:rPr>
        <w:t> </w:t>
      </w:r>
      <w:r>
        <w:rPr/>
        <w:t>is</w:t>
      </w:r>
      <w:r>
        <w:rPr>
          <w:spacing w:val="5"/>
        </w:rPr>
        <w:t> </w:t>
      </w:r>
      <w:r>
        <w:rPr/>
        <w:t>scheduled</w:t>
      </w:r>
      <w:r>
        <w:rPr>
          <w:spacing w:val="5"/>
        </w:rPr>
        <w:t> </w:t>
      </w:r>
      <w:r>
        <w:rPr/>
        <w:t>to</w:t>
      </w:r>
      <w:r>
        <w:rPr>
          <w:spacing w:val="6"/>
        </w:rPr>
        <w:t> </w:t>
      </w:r>
      <w:r>
        <w:rPr/>
        <w:t>start</w:t>
      </w:r>
      <w:r>
        <w:rPr>
          <w:spacing w:val="5"/>
        </w:rPr>
        <w:t> </w:t>
      </w:r>
      <w:r>
        <w:rPr/>
        <w:t>next</w:t>
      </w:r>
      <w:r>
        <w:rPr>
          <w:spacing w:val="5"/>
        </w:rPr>
        <w:t> </w:t>
      </w:r>
      <w:r>
        <w:rPr>
          <w:spacing w:val="-2"/>
        </w:rPr>
        <w:t>year.</w:t>
      </w:r>
    </w:p>
    <w:p>
      <w:pPr>
        <w:spacing w:after="0" w:line="222" w:lineRule="exact"/>
        <w:sectPr>
          <w:type w:val="continuous"/>
          <w:pgSz w:w="12240" w:h="15840"/>
          <w:pgMar w:header="274" w:footer="285" w:top="480" w:bottom="480" w:left="1160" w:right="1720"/>
        </w:sectPr>
      </w:pPr>
    </w:p>
    <w:p>
      <w:pPr>
        <w:pStyle w:val="BodyText"/>
        <w:spacing w:line="235" w:lineRule="auto" w:before="96"/>
        <w:ind w:left="113" w:right="460"/>
      </w:pPr>
      <w:r>
        <w:rPr/>
        <w:t>SDOT said the interim repair project is taking longer than expected due to coordinating with BNSF Railway and Union Pacific Railroad, which operate the rail yard below the bridge. The tricky part is the</w:t>
      </w:r>
      <w:r>
        <w:rPr>
          <w:spacing w:val="16"/>
        </w:rPr>
        <w:t> </w:t>
      </w:r>
      <w:r>
        <w:rPr/>
        <w:t>railroads</w:t>
      </w:r>
      <w:r>
        <w:rPr>
          <w:spacing w:val="16"/>
        </w:rPr>
        <w:t> </w:t>
      </w:r>
      <w:r>
        <w:rPr/>
        <w:t>own</w:t>
      </w:r>
      <w:r>
        <w:rPr>
          <w:spacing w:val="16"/>
        </w:rPr>
        <w:t> </w:t>
      </w:r>
      <w:r>
        <w:rPr/>
        <w:t>the</w:t>
      </w:r>
      <w:r>
        <w:rPr>
          <w:spacing w:val="16"/>
        </w:rPr>
        <w:t> </w:t>
      </w:r>
      <w:r>
        <w:rPr/>
        <w:t>right</w:t>
      </w:r>
      <w:r>
        <w:rPr>
          <w:spacing w:val="16"/>
        </w:rPr>
        <w:t> </w:t>
      </w:r>
      <w:r>
        <w:rPr/>
        <w:t>of</w:t>
      </w:r>
      <w:r>
        <w:rPr>
          <w:spacing w:val="16"/>
        </w:rPr>
        <w:t> </w:t>
      </w:r>
      <w:r>
        <w:rPr/>
        <w:t>way</w:t>
      </w:r>
      <w:r>
        <w:rPr>
          <w:spacing w:val="16"/>
        </w:rPr>
        <w:t> </w:t>
      </w:r>
      <w:r>
        <w:rPr/>
        <w:t>under</w:t>
      </w:r>
      <w:r>
        <w:rPr>
          <w:spacing w:val="16"/>
        </w:rPr>
        <w:t> </w:t>
      </w:r>
      <w:r>
        <w:rPr/>
        <w:t>the</w:t>
      </w:r>
      <w:r>
        <w:rPr>
          <w:spacing w:val="16"/>
        </w:rPr>
        <w:t> </w:t>
      </w:r>
      <w:r>
        <w:rPr/>
        <w:t>bridge,</w:t>
      </w:r>
      <w:r>
        <w:rPr>
          <w:spacing w:val="16"/>
        </w:rPr>
        <w:t> </w:t>
      </w:r>
      <w:r>
        <w:rPr/>
        <w:t>and</w:t>
      </w:r>
      <w:r>
        <w:rPr>
          <w:spacing w:val="16"/>
        </w:rPr>
        <w:t> </w:t>
      </w:r>
      <w:r>
        <w:rPr/>
        <w:t>because</w:t>
      </w:r>
      <w:r>
        <w:rPr>
          <w:spacing w:val="16"/>
        </w:rPr>
        <w:t> </w:t>
      </w:r>
      <w:r>
        <w:rPr/>
        <w:t>of</w:t>
      </w:r>
      <w:r>
        <w:rPr>
          <w:spacing w:val="16"/>
        </w:rPr>
        <w:t> </w:t>
      </w:r>
      <w:r>
        <w:rPr/>
        <w:t>this,</w:t>
      </w:r>
      <w:r>
        <w:rPr>
          <w:spacing w:val="16"/>
        </w:rPr>
        <w:t> </w:t>
      </w:r>
      <w:r>
        <w:rPr/>
        <w:t>SDOT</w:t>
      </w:r>
      <w:r>
        <w:rPr>
          <w:spacing w:val="16"/>
        </w:rPr>
        <w:t> </w:t>
      </w:r>
      <w:r>
        <w:rPr/>
        <w:t>is</w:t>
      </w:r>
      <w:r>
        <w:rPr>
          <w:spacing w:val="16"/>
        </w:rPr>
        <w:t> </w:t>
      </w:r>
      <w:r>
        <w:rPr/>
        <w:t>required</w:t>
      </w:r>
      <w:r>
        <w:rPr>
          <w:spacing w:val="16"/>
        </w:rPr>
        <w:t> </w:t>
      </w:r>
      <w:r>
        <w:rPr/>
        <w:t>to</w:t>
      </w:r>
      <w:r>
        <w:rPr/>
        <w:t> obtain access permits from each rail company. SDOT said the permit prohibits construction work</w:t>
      </w:r>
      <w:r>
        <w:rPr>
          <w:spacing w:val="80"/>
        </w:rPr>
        <w:t> </w:t>
      </w:r>
      <w:r>
        <w:rPr/>
        <w:t>on the bridge from the rail yard below if it disrupts rail operations, which means that SDOT would have to complete most of the interim repairs from the bridge deck.</w:t>
      </w:r>
    </w:p>
    <w:p>
      <w:pPr>
        <w:pStyle w:val="BodyText"/>
        <w:rPr>
          <w:sz w:val="18"/>
        </w:rPr>
      </w:pPr>
    </w:p>
    <w:p>
      <w:pPr>
        <w:pStyle w:val="BodyText"/>
        <w:spacing w:line="235" w:lineRule="auto"/>
        <w:ind w:left="113" w:right="499"/>
      </w:pPr>
      <w:r>
        <w:rPr/>
        <w:t>The planning study grant is coming from the U.S. Department of Transportation's new Bridge Investment Program created under the Biden Infrastructure Law. The program funds projects</w:t>
      </w:r>
      <w:r>
        <w:rPr>
          <w:spacing w:val="40"/>
        </w:rPr>
        <w:t> </w:t>
      </w:r>
      <w:r>
        <w:rPr/>
        <w:t>aimed at reducing the overall number of bridges in poor condition, or in fair condition at risk of falling into poor condition. The program is funded in two buckets: $27.5 billion in formula funding over five years; and $12.5 billion in competitive funding over five years. Washington state will receive $653.3 million over five years in formula funding from this program.</w:t>
      </w:r>
    </w:p>
    <w:p>
      <w:pPr>
        <w:pStyle w:val="BodyText"/>
        <w:spacing w:line="235" w:lineRule="auto" w:before="190"/>
        <w:ind w:left="113" w:right="839"/>
        <w:jc w:val="both"/>
      </w:pPr>
      <w:r>
        <w:rPr/>
        <w:t>The initial grant comes from the first round of competitive funding for planning grants, which comprises just $18.3 million of the $2.4 billion in competitive funding available for the Bridge Investment Program this year.</w:t>
      </w:r>
    </w:p>
    <w:p>
      <w:pPr>
        <w:pStyle w:val="BodyText"/>
      </w:pPr>
    </w:p>
    <w:p>
      <w:pPr>
        <w:pStyle w:val="BodyText"/>
      </w:pPr>
    </w:p>
    <w:p>
      <w:pPr>
        <w:pStyle w:val="BodyText"/>
      </w:pPr>
    </w:p>
    <w:p>
      <w:pPr>
        <w:pStyle w:val="BodyText"/>
        <w:spacing w:before="10"/>
        <w:rPr>
          <w:sz w:val="18"/>
        </w:rPr>
      </w:pPr>
    </w:p>
    <w:p>
      <w:pPr>
        <w:spacing w:before="106"/>
        <w:ind w:left="3095" w:right="0" w:firstLine="0"/>
        <w:jc w:val="left"/>
        <w:rPr>
          <w:sz w:val="16"/>
        </w:rPr>
      </w:pPr>
      <w:r>
        <w:rPr/>
        <w:pict>
          <v:rect style="position:absolute;margin-left:84.499992pt;margin-top:-2.626548pt;width:443.999977pt;height:.69375pt;mso-position-horizontal-relative:page;mso-position-vertical-relative:paragraph;z-index:15729152" id="docshape5" filled="true" fillcolor="#999999" stroked="false">
            <v:fill type="solid"/>
            <w10:wrap type="none"/>
          </v:rect>
        </w:pict>
      </w:r>
      <w:r>
        <w:rPr>
          <w:w w:val="105"/>
          <w:sz w:val="16"/>
        </w:rPr>
        <w:t>Copyright</w:t>
      </w:r>
      <w:r>
        <w:rPr>
          <w:spacing w:val="-6"/>
          <w:w w:val="105"/>
          <w:sz w:val="16"/>
        </w:rPr>
        <w:t> </w:t>
      </w:r>
      <w:r>
        <w:rPr>
          <w:w w:val="105"/>
          <w:sz w:val="16"/>
        </w:rPr>
        <w:t>2022</w:t>
      </w:r>
      <w:r>
        <w:rPr>
          <w:spacing w:val="-5"/>
          <w:w w:val="105"/>
          <w:sz w:val="16"/>
        </w:rPr>
        <w:t> </w:t>
      </w:r>
      <w:r>
        <w:rPr>
          <w:w w:val="105"/>
          <w:sz w:val="16"/>
        </w:rPr>
        <w:t>Seattle</w:t>
      </w:r>
      <w:r>
        <w:rPr>
          <w:spacing w:val="-5"/>
          <w:w w:val="105"/>
          <w:sz w:val="16"/>
        </w:rPr>
        <w:t> </w:t>
      </w:r>
      <w:r>
        <w:rPr>
          <w:w w:val="105"/>
          <w:sz w:val="16"/>
        </w:rPr>
        <w:t>Daily</w:t>
      </w:r>
      <w:r>
        <w:rPr>
          <w:spacing w:val="-6"/>
          <w:w w:val="105"/>
          <w:sz w:val="16"/>
        </w:rPr>
        <w:t> </w:t>
      </w:r>
      <w:r>
        <w:rPr>
          <w:w w:val="105"/>
          <w:sz w:val="16"/>
        </w:rPr>
        <w:t>Journal</w:t>
      </w:r>
      <w:r>
        <w:rPr>
          <w:spacing w:val="-5"/>
          <w:w w:val="105"/>
          <w:sz w:val="16"/>
        </w:rPr>
        <w:t> </w:t>
      </w:r>
      <w:r>
        <w:rPr>
          <w:w w:val="105"/>
          <w:sz w:val="16"/>
        </w:rPr>
        <w:t>of</w:t>
      </w:r>
      <w:r>
        <w:rPr>
          <w:spacing w:val="-5"/>
          <w:w w:val="105"/>
          <w:sz w:val="16"/>
        </w:rPr>
        <w:t> </w:t>
      </w:r>
      <w:r>
        <w:rPr>
          <w:spacing w:val="-2"/>
          <w:w w:val="105"/>
          <w:sz w:val="16"/>
        </w:rPr>
        <w:t>Commerce</w:t>
      </w:r>
    </w:p>
    <w:sectPr>
      <w:pgSz w:w="12240" w:h="15840"/>
      <w:pgMar w:header="274" w:footer="285" w:top="480" w:bottom="480" w:left="116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5.453123pt;margin-top:766.757751pt;width:353.35pt;height:10.95pt;mso-position-horizontal-relative:page;mso-position-vertical-relative:page;z-index:-15777792" type="#_x0000_t202" id="docshape3" filled="false" stroked="false">
          <v:textbox inset="0,0,0,0">
            <w:txbxContent>
              <w:p>
                <w:pPr>
                  <w:spacing w:before="14"/>
                  <w:ind w:left="20" w:right="0" w:firstLine="0"/>
                  <w:jc w:val="left"/>
                  <w:rPr>
                    <w:rFonts w:ascii="Arial"/>
                    <w:sz w:val="16"/>
                  </w:rPr>
                </w:pPr>
                <w:hyperlink r:id="rId1">
                  <w:r>
                    <w:rPr>
                      <w:rFonts w:ascii="Arial"/>
                      <w:spacing w:val="-2"/>
                      <w:sz w:val="16"/>
                    </w:rPr>
                    <w:t>https://www.djc.com/news/co/12152052.html?action=get&amp;id=12152052&amp;report=full&amp;printmode=true</w:t>
                  </w:r>
                </w:hyperlink>
              </w:p>
            </w:txbxContent>
          </v:textbox>
          <w10:wrap type="none"/>
        </v:shape>
      </w:pict>
    </w:r>
    <w:r>
      <w:rPr/>
      <w:pict>
        <v:shape style="position:absolute;margin-left:571.406189pt;margin-top:766.757751pt;width:15.15pt;height:10.95pt;mso-position-horizontal-relative:page;mso-position-vertical-relative:page;z-index:-15777280" type="#_x0000_t202" id="docshape4" filled="false" stroked="false">
          <v:textbox inset="0,0,0,0">
            <w:txbxContent>
              <w:p>
                <w:pPr>
                  <w:spacing w:before="14"/>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NUMPAGES </w:instrText>
                </w:r>
                <w:r>
                  <w:rPr>
                    <w:rFonts w:ascii="Arial"/>
                    <w:spacing w:val="-5"/>
                    <w:sz w:val="16"/>
                  </w:rPr>
                  <w:fldChar w:fldCharType="separate"/>
                </w:r>
                <w:r>
                  <w:rPr>
                    <w:rFonts w:ascii="Arial"/>
                    <w:spacing w:val="-5"/>
                    <w:sz w:val="16"/>
                  </w:rPr>
                  <w:t>2</w:t>
                </w:r>
                <w:r>
                  <w:rPr>
                    <w:rFonts w:ascii="Arial"/>
                    <w:spacing w:val="-5"/>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5.453123pt;margin-top:13.757812pt;width:67.4pt;height:10.95pt;mso-position-horizontal-relative:page;mso-position-vertical-relative:page;z-index:-15778816" type="#_x0000_t202" id="docshape1" filled="false" stroked="false">
          <v:textbox inset="0,0,0,0">
            <w:txbxContent>
              <w:p>
                <w:pPr>
                  <w:spacing w:before="14"/>
                  <w:ind w:left="20" w:right="0" w:firstLine="0"/>
                  <w:jc w:val="left"/>
                  <w:rPr>
                    <w:rFonts w:ascii="Arial"/>
                    <w:sz w:val="16"/>
                  </w:rPr>
                </w:pPr>
                <w:r>
                  <w:rPr>
                    <w:rFonts w:ascii="Arial"/>
                    <w:sz w:val="16"/>
                  </w:rPr>
                  <w:t>10/17/22, 7:41 </w:t>
                </w:r>
                <w:r>
                  <w:rPr>
                    <w:rFonts w:ascii="Arial"/>
                    <w:spacing w:val="-5"/>
                    <w:sz w:val="16"/>
                  </w:rPr>
                  <w:t>AM</w:t>
                </w:r>
              </w:p>
            </w:txbxContent>
          </v:textbox>
          <w10:wrap type="none"/>
        </v:shape>
      </w:pict>
    </w:r>
    <w:r>
      <w:rPr/>
      <w:pict>
        <v:shape style="position:absolute;margin-left:290.999969pt;margin-top:13.757812pt;width:125.65pt;height:10.95pt;mso-position-horizontal-relative:page;mso-position-vertical-relative:page;z-index:-15778304" type="#_x0000_t202" id="docshape2" filled="false" stroked="false">
          <v:textbox inset="0,0,0,0">
            <w:txbxContent>
              <w:p>
                <w:pPr>
                  <w:spacing w:before="14"/>
                  <w:ind w:left="20" w:right="0" w:firstLine="0"/>
                  <w:jc w:val="left"/>
                  <w:rPr>
                    <w:rFonts w:ascii="Arial"/>
                    <w:sz w:val="16"/>
                  </w:rPr>
                </w:pPr>
                <w:r>
                  <w:rPr>
                    <w:rFonts w:ascii="Arial"/>
                    <w:sz w:val="16"/>
                  </w:rPr>
                  <w:t>Seattle Daily Journal of </w:t>
                </w:r>
                <w:r>
                  <w:rPr>
                    <w:rFonts w:ascii="Arial"/>
                    <w:spacing w:val="-2"/>
                    <w:sz w:val="16"/>
                  </w:rPr>
                  <w:t>Commerce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0"/>
      <w:szCs w:val="20"/>
      <w:lang w:val="en-US" w:eastAsia="en-US" w:bidi="ar-SA"/>
    </w:rPr>
  </w:style>
  <w:style w:styleId="Title" w:type="paragraph">
    <w:name w:val="Title"/>
    <w:basedOn w:val="Normal"/>
    <w:uiPriority w:val="1"/>
    <w:qFormat/>
    <w:pPr>
      <w:ind w:left="113"/>
    </w:pPr>
    <w:rPr>
      <w:rFonts w:ascii="Georgia" w:hAnsi="Georgia" w:eastAsia="Georgia" w:cs="Georgia"/>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www.djc.com/stories/images/20221017/4thAveSBridge_big.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jc.com/news/co/12152052.html?action=get&amp;id=12152052&amp;report=full&amp;printmod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2022-10-19T17:51:38Z</dcterms:created>
  <dcterms:modified xsi:type="dcterms:W3CDTF">2022-10-19T17:51:38Z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Mozilla/5.0 (Windows NT 10.0; WOW64) AppleWebKit/537.36 (KHTML, like Gecko) Chrome/106.0.0.0 Safari/537.36</vt:lpwstr>
  </property>
  <property fmtid="{D5CDD505-2E9C-101B-9397-08002B2CF9AE}" pid="4" name="LastSaved">
    <vt:filetime>2022-10-19T00:00:00Z</vt:filetime>
  </property>
  <property fmtid="{D5CDD505-2E9C-101B-9397-08002B2CF9AE}" pid="5" name="Producer">
    <vt:lpwstr>Skia/PDF m106</vt:lpwstr>
  </property>
</Properties>
</file>